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0B4" w:rsidRDefault="000610B4" w:rsidP="000610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610B4" w:rsidRDefault="000610B4" w:rsidP="000610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610B4" w:rsidRDefault="000610B4" w:rsidP="000610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610B4" w:rsidRDefault="000610B4" w:rsidP="000610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610B4" w:rsidRDefault="000610B4" w:rsidP="000610B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43280" w:rsidRDefault="00543280" w:rsidP="005432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60588A" w:rsidRPr="00CD3515" w:rsidRDefault="0060588A" w:rsidP="000610B4">
      <w:pPr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60588A" w:rsidRPr="00CD3515" w:rsidRDefault="0060588A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60588A" w:rsidRPr="00FD03B0" w:rsidRDefault="0060588A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FD03B0">
        <w:rPr>
          <w:sz w:val="24"/>
        </w:rPr>
        <w:t>Название: Гипоталамо – гипофизарная недостаточность.</w:t>
      </w:r>
    </w:p>
    <w:p w:rsidR="0060588A" w:rsidRPr="00FD03B0" w:rsidRDefault="0060588A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D03B0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FD03B0" w:rsidRPr="00FD03B0">
        <w:rPr>
          <w:rFonts w:ascii="Times New Roman" w:hAnsi="Times New Roman"/>
          <w:sz w:val="24"/>
          <w:szCs w:val="24"/>
        </w:rPr>
        <w:t>6</w:t>
      </w:r>
      <w:r w:rsidRPr="00FD03B0">
        <w:rPr>
          <w:rFonts w:ascii="Times New Roman" w:hAnsi="Times New Roman"/>
          <w:sz w:val="24"/>
          <w:szCs w:val="24"/>
        </w:rPr>
        <w:t>.4.</w:t>
      </w:r>
    </w:p>
    <w:p w:rsidR="0060588A" w:rsidRPr="00FD03B0" w:rsidRDefault="0049078D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D03B0">
        <w:rPr>
          <w:rFonts w:ascii="Times New Roman" w:hAnsi="Times New Roman"/>
          <w:sz w:val="24"/>
          <w:szCs w:val="24"/>
        </w:rPr>
        <w:t>Наименование цикла:</w:t>
      </w:r>
      <w:r w:rsidR="00FD03B0" w:rsidRPr="00FD03B0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FD03B0" w:rsidRPr="00FD03B0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</w:t>
      </w:r>
      <w:r w:rsidR="0060588A" w:rsidRPr="00FD03B0">
        <w:rPr>
          <w:rFonts w:ascii="Times New Roman" w:hAnsi="Times New Roman"/>
          <w:sz w:val="24"/>
          <w:szCs w:val="24"/>
        </w:rPr>
        <w:t xml:space="preserve"> </w:t>
      </w:r>
      <w:r w:rsidR="00FD03B0" w:rsidRPr="00FD03B0">
        <w:rPr>
          <w:rFonts w:ascii="Times New Roman" w:hAnsi="Times New Roman"/>
          <w:sz w:val="24"/>
          <w:szCs w:val="24"/>
        </w:rPr>
        <w:t>«Э</w:t>
      </w:r>
      <w:r w:rsidR="0060588A" w:rsidRPr="00FD03B0">
        <w:rPr>
          <w:rFonts w:ascii="Times New Roman" w:hAnsi="Times New Roman"/>
          <w:sz w:val="24"/>
          <w:szCs w:val="24"/>
        </w:rPr>
        <w:t>ндокр</w:t>
      </w:r>
      <w:r w:rsidR="00FD03B0" w:rsidRPr="00FD03B0">
        <w:rPr>
          <w:rFonts w:ascii="Times New Roman" w:hAnsi="Times New Roman"/>
          <w:sz w:val="24"/>
          <w:szCs w:val="24"/>
        </w:rPr>
        <w:t>инология</w:t>
      </w:r>
      <w:r w:rsidR="0060588A" w:rsidRPr="00FD03B0">
        <w:rPr>
          <w:rFonts w:ascii="Times New Roman" w:hAnsi="Times New Roman"/>
          <w:sz w:val="24"/>
          <w:szCs w:val="24"/>
        </w:rPr>
        <w:t>»</w:t>
      </w:r>
    </w:p>
    <w:p w:rsidR="0060588A" w:rsidRPr="00FD03B0" w:rsidRDefault="0060588A" w:rsidP="00FD03B0">
      <w:pPr>
        <w:pStyle w:val="a8"/>
        <w:numPr>
          <w:ilvl w:val="1"/>
          <w:numId w:val="1"/>
        </w:numPr>
        <w:tabs>
          <w:tab w:val="num" w:pos="0"/>
        </w:tabs>
        <w:ind w:left="0" w:firstLine="720"/>
        <w:rPr>
          <w:rFonts w:ascii="Times New Roman" w:hAnsi="Times New Roman"/>
          <w:sz w:val="24"/>
          <w:szCs w:val="24"/>
        </w:rPr>
      </w:pPr>
      <w:r w:rsidRPr="00FD03B0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FD03B0" w:rsidRPr="00FD03B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</w:t>
      </w:r>
      <w:bookmarkStart w:id="0" w:name="_GoBack"/>
      <w:bookmarkEnd w:id="0"/>
      <w:r w:rsidR="00FD03B0" w:rsidRPr="00FD03B0">
        <w:rPr>
          <w:rFonts w:ascii="Times New Roman" w:hAnsi="Times New Roman"/>
          <w:sz w:val="24"/>
          <w:szCs w:val="24"/>
        </w:rPr>
        <w:t>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  <w:r w:rsidRPr="00FD03B0">
        <w:rPr>
          <w:rFonts w:ascii="Times New Roman" w:hAnsi="Times New Roman"/>
          <w:sz w:val="24"/>
          <w:szCs w:val="24"/>
        </w:rPr>
        <w:t xml:space="preserve"> </w:t>
      </w:r>
    </w:p>
    <w:p w:rsidR="0060588A" w:rsidRPr="00FD03B0" w:rsidRDefault="0060588A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D03B0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60588A" w:rsidRPr="00FD03B0" w:rsidRDefault="0060588A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FD03B0">
        <w:rPr>
          <w:sz w:val="24"/>
        </w:rPr>
        <w:t xml:space="preserve">Цель: рассмотреть и обсудить современные </w:t>
      </w:r>
      <w:r w:rsidR="00FD03B0" w:rsidRPr="00FD03B0">
        <w:rPr>
          <w:sz w:val="24"/>
        </w:rPr>
        <w:t xml:space="preserve">данные по </w:t>
      </w:r>
      <w:r w:rsidRPr="00FD03B0">
        <w:rPr>
          <w:sz w:val="24"/>
        </w:rPr>
        <w:t>гипоталамо – гипофизарной недостаточности.</w:t>
      </w:r>
    </w:p>
    <w:p w:rsidR="0060588A" w:rsidRPr="00FD03B0" w:rsidRDefault="0060588A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FD03B0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FD03B0">
        <w:rPr>
          <w:rFonts w:ascii="Times New Roman" w:hAnsi="Times New Roman"/>
          <w:sz w:val="24"/>
          <w:szCs w:val="24"/>
        </w:rPr>
        <w:t xml:space="preserve"> Этиология. </w:t>
      </w:r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 xml:space="preserve">Опухоли гипофиза и </w:t>
      </w:r>
      <w:proofErr w:type="spellStart"/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>параселлярной</w:t>
      </w:r>
      <w:proofErr w:type="spellEnd"/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 xml:space="preserve"> области </w:t>
      </w:r>
      <w:r w:rsidRPr="00FD03B0">
        <w:rPr>
          <w:rFonts w:ascii="Times New Roman" w:hAnsi="Times New Roman"/>
          <w:color w:val="000000"/>
          <w:sz w:val="24"/>
          <w:szCs w:val="24"/>
        </w:rPr>
        <w:t xml:space="preserve">(активные и неактивные). Облучение гипоталамо-гипофизарной области. Хирургическая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гипофизэктомия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. Апоплексия гипофиза. </w:t>
      </w:r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>Аборт, роды, осложненные эклампсией послед</w:t>
      </w:r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D03B0">
        <w:rPr>
          <w:rFonts w:ascii="Times New Roman" w:hAnsi="Times New Roman"/>
          <w:color w:val="000000"/>
          <w:sz w:val="24"/>
          <w:szCs w:val="24"/>
        </w:rPr>
        <w:t xml:space="preserve">них месяцев беременности, тромбоэмболия, массивная кровопотеря. </w:t>
      </w:r>
      <w:proofErr w:type="spellStart"/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>Нейроинфекции</w:t>
      </w:r>
      <w:proofErr w:type="spellEnd"/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 xml:space="preserve"> и септические состояния. Черепно-мозговая травма. Аутоиммунный </w:t>
      </w:r>
      <w:proofErr w:type="spellStart"/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>гипофизит</w:t>
      </w:r>
      <w:proofErr w:type="spellEnd"/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 xml:space="preserve">.  Поражение гипоталамуса или других отделов </w:t>
      </w:r>
      <w:r w:rsidRPr="00FD03B0">
        <w:rPr>
          <w:rFonts w:ascii="Times New Roman" w:hAnsi="Times New Roman"/>
          <w:color w:val="000000"/>
          <w:spacing w:val="-4"/>
          <w:sz w:val="24"/>
          <w:szCs w:val="24"/>
        </w:rPr>
        <w:t xml:space="preserve">ЦНС. Гранулематозные заболевания. Патогенез. </w:t>
      </w:r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 xml:space="preserve">Первичный и вторичный </w:t>
      </w:r>
      <w:proofErr w:type="spellStart"/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>гипопитуитаризм</w:t>
      </w:r>
      <w:proofErr w:type="spellEnd"/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 xml:space="preserve">. Гормональные и метаболические нарушения. </w:t>
      </w:r>
      <w:proofErr w:type="spellStart"/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>Патоморфология</w:t>
      </w:r>
      <w:proofErr w:type="spellEnd"/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 xml:space="preserve">. Изменения в </w:t>
      </w:r>
      <w:proofErr w:type="spellStart"/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>аденогипофизе</w:t>
      </w:r>
      <w:proofErr w:type="spellEnd"/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 xml:space="preserve"> и гипоталамусе. Изменения в других эндокринных железах и </w:t>
      </w:r>
      <w:r w:rsidRPr="00FD03B0">
        <w:rPr>
          <w:rFonts w:ascii="Times New Roman" w:hAnsi="Times New Roman"/>
          <w:color w:val="000000"/>
          <w:sz w:val="24"/>
          <w:szCs w:val="24"/>
        </w:rPr>
        <w:t xml:space="preserve">внутренних органах. Клиника. Проявление гипофункции эндокринных желёз. Вторичный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гипокортицизм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 xml:space="preserve">Вторичный гипотиреоз. Особенности клинического течения болезни </w:t>
      </w:r>
      <w:proofErr w:type="spellStart"/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>Симмондса</w:t>
      </w:r>
      <w:proofErr w:type="spellEnd"/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 xml:space="preserve">. Стертые формы синдрома </w:t>
      </w:r>
      <w:proofErr w:type="spellStart"/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>Шиена</w:t>
      </w:r>
      <w:proofErr w:type="spellEnd"/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 xml:space="preserve">. Другие клинические варианты, обусловленные </w:t>
      </w:r>
      <w:r w:rsidRPr="00FD03B0">
        <w:rPr>
          <w:rFonts w:ascii="Times New Roman" w:hAnsi="Times New Roman"/>
          <w:color w:val="000000"/>
          <w:sz w:val="24"/>
          <w:szCs w:val="24"/>
        </w:rPr>
        <w:t xml:space="preserve">частичным 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гипопитуитаризмом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>.</w:t>
      </w:r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 xml:space="preserve"> Гипоталамо-гипофизарная кома. Диагноз. Данные клинико-лабораторного обследования. Данные иммунологических обследований. Данные гормонального профиля. Офтальмологические и неврологические иссле</w:t>
      </w:r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D03B0">
        <w:rPr>
          <w:rFonts w:ascii="Times New Roman" w:hAnsi="Times New Roman"/>
          <w:color w:val="000000"/>
          <w:sz w:val="24"/>
          <w:szCs w:val="24"/>
        </w:rPr>
        <w:t xml:space="preserve">дования. Данные гинекологического обследования. </w:t>
      </w:r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 xml:space="preserve">Методы диагностики </w:t>
      </w:r>
      <w:proofErr w:type="spellStart"/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>гипогонадотропного</w:t>
      </w:r>
      <w:proofErr w:type="spellEnd"/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>гипо</w:t>
      </w:r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FD03B0">
        <w:rPr>
          <w:rFonts w:ascii="Times New Roman" w:hAnsi="Times New Roman"/>
          <w:color w:val="000000"/>
          <w:spacing w:val="-5"/>
          <w:sz w:val="24"/>
          <w:szCs w:val="24"/>
        </w:rPr>
        <w:t>гонадизма</w:t>
      </w:r>
      <w:proofErr w:type="spellEnd"/>
      <w:r w:rsidRPr="00FD03B0">
        <w:rPr>
          <w:rFonts w:ascii="Times New Roman" w:hAnsi="Times New Roman"/>
          <w:color w:val="000000"/>
          <w:spacing w:val="-5"/>
          <w:sz w:val="24"/>
          <w:szCs w:val="24"/>
        </w:rPr>
        <w:t xml:space="preserve">. </w:t>
      </w:r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 xml:space="preserve">Методы диагностики вторичного гипотиреоза. Методы диагностики вторичного </w:t>
      </w:r>
      <w:proofErr w:type="spellStart"/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>гипокортицизма</w:t>
      </w:r>
      <w:proofErr w:type="spellEnd"/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 xml:space="preserve">. Дифференциальный диагноз. Нервная анорексия. Алиментарная дистрофия.  Синдром Шмидта. Первичная надпочечниковая недостаточность. Первичная недостаточность яичников. Первичный гипотиреоз.  Злокачественные новообразования. Хронические </w:t>
      </w:r>
      <w:proofErr w:type="spellStart"/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>нейроинфекции</w:t>
      </w:r>
      <w:proofErr w:type="spellEnd"/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 xml:space="preserve">. Лечение и профилактика. Заместительная гормональная терапия. Лечение гипоталамо-гипофизарной комы. </w:t>
      </w:r>
      <w:r w:rsidRPr="00FD03B0">
        <w:rPr>
          <w:rFonts w:ascii="Times New Roman" w:hAnsi="Times New Roman"/>
          <w:color w:val="000000"/>
          <w:sz w:val="24"/>
          <w:szCs w:val="24"/>
        </w:rPr>
        <w:t xml:space="preserve">Профилактика синдрома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Шиена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 у </w:t>
      </w:r>
      <w:r w:rsidRPr="00FD03B0">
        <w:rPr>
          <w:rFonts w:ascii="Times New Roman" w:hAnsi="Times New Roman"/>
          <w:color w:val="000000"/>
          <w:sz w:val="24"/>
          <w:szCs w:val="24"/>
        </w:rPr>
        <w:lastRenderedPageBreak/>
        <w:t xml:space="preserve">больных с </w:t>
      </w:r>
      <w:r w:rsidRPr="00FD03B0">
        <w:rPr>
          <w:rFonts w:ascii="Times New Roman" w:hAnsi="Times New Roman"/>
          <w:color w:val="000000"/>
          <w:spacing w:val="-4"/>
          <w:sz w:val="24"/>
          <w:szCs w:val="24"/>
        </w:rPr>
        <w:t>токсикозом беременности</w:t>
      </w:r>
      <w:r w:rsidRPr="00FD03B0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FD03B0">
        <w:rPr>
          <w:rFonts w:ascii="Times New Roman" w:hAnsi="Times New Roman"/>
          <w:color w:val="000000"/>
          <w:spacing w:val="-4"/>
          <w:sz w:val="24"/>
          <w:szCs w:val="24"/>
        </w:rPr>
        <w:t>и послеродовым</w:t>
      </w:r>
      <w:r w:rsidRPr="00FD03B0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 xml:space="preserve"> </w:t>
      </w:r>
      <w:r w:rsidRPr="00FD03B0">
        <w:rPr>
          <w:rFonts w:ascii="Times New Roman" w:hAnsi="Times New Roman"/>
          <w:color w:val="000000"/>
          <w:spacing w:val="-4"/>
          <w:sz w:val="24"/>
          <w:szCs w:val="24"/>
        </w:rPr>
        <w:t>кро</w:t>
      </w:r>
      <w:r w:rsidRPr="00FD03B0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FD03B0">
        <w:rPr>
          <w:rFonts w:ascii="Times New Roman" w:hAnsi="Times New Roman"/>
          <w:color w:val="000000"/>
          <w:spacing w:val="-2"/>
          <w:sz w:val="24"/>
          <w:szCs w:val="24"/>
        </w:rPr>
        <w:t xml:space="preserve">вотечением. </w:t>
      </w:r>
      <w:proofErr w:type="spellStart"/>
      <w:r w:rsidRPr="00FD03B0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Прогноз</w:t>
      </w:r>
      <w:proofErr w:type="spellEnd"/>
      <w:r w:rsidRPr="00FD03B0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 xml:space="preserve"> и </w:t>
      </w:r>
      <w:proofErr w:type="spellStart"/>
      <w:r w:rsidRPr="00FD03B0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диспансеризация</w:t>
      </w:r>
      <w:proofErr w:type="spellEnd"/>
      <w:r w:rsidRPr="00FD03B0">
        <w:rPr>
          <w:rFonts w:ascii="Times New Roman" w:hAnsi="Times New Roman"/>
          <w:color w:val="000000"/>
          <w:spacing w:val="-1"/>
          <w:sz w:val="24"/>
          <w:szCs w:val="24"/>
        </w:rPr>
        <w:t>. Медико-социальная экспертиза и реабилитация.</w:t>
      </w:r>
    </w:p>
    <w:p w:rsidR="00FD03B0" w:rsidRPr="00FD03B0" w:rsidRDefault="0060588A" w:rsidP="00FD03B0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03B0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  </w:t>
      </w:r>
      <w:r w:rsidR="00FD03B0" w:rsidRPr="00FD03B0">
        <w:rPr>
          <w:rFonts w:ascii="Times New Roman" w:hAnsi="Times New Roman"/>
          <w:color w:val="000000"/>
          <w:spacing w:val="-6"/>
          <w:sz w:val="24"/>
          <w:szCs w:val="24"/>
        </w:rPr>
        <w:t>Гипоталамо – гипофизарная недостаточность.</w:t>
      </w:r>
    </w:p>
    <w:p w:rsidR="00FD03B0" w:rsidRPr="00FD03B0" w:rsidRDefault="0060588A" w:rsidP="00FD03B0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03B0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D03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D03B0">
        <w:rPr>
          <w:rFonts w:ascii="Times New Roman" w:hAnsi="Times New Roman"/>
          <w:sz w:val="24"/>
          <w:szCs w:val="24"/>
        </w:rPr>
        <w:t>, мультимедийные материалы видеодвойк</w:t>
      </w:r>
      <w:r w:rsidR="00FD03B0" w:rsidRPr="00FD03B0">
        <w:rPr>
          <w:rFonts w:ascii="Times New Roman" w:hAnsi="Times New Roman"/>
          <w:sz w:val="24"/>
          <w:szCs w:val="24"/>
        </w:rPr>
        <w:t>а, ноутбук, интерактивная доска.</w:t>
      </w:r>
    </w:p>
    <w:p w:rsidR="0060588A" w:rsidRPr="00FD03B0" w:rsidRDefault="0060588A" w:rsidP="00FD03B0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03B0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60588A" w:rsidRPr="00FD03B0" w:rsidRDefault="0060588A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D03B0">
        <w:rPr>
          <w:rFonts w:ascii="Times New Roman" w:hAnsi="Times New Roman"/>
          <w:sz w:val="24"/>
          <w:szCs w:val="24"/>
        </w:rPr>
        <w:t>Основная:</w:t>
      </w:r>
      <w:r w:rsidRPr="00FD03B0">
        <w:rPr>
          <w:rFonts w:ascii="Times New Roman" w:hAnsi="Times New Roman"/>
          <w:bCs/>
          <w:sz w:val="24"/>
          <w:szCs w:val="24"/>
        </w:rPr>
        <w:t xml:space="preserve"> </w:t>
      </w:r>
    </w:p>
    <w:p w:rsidR="0060588A" w:rsidRPr="00FD03B0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D03B0">
        <w:rPr>
          <w:rFonts w:ascii="Times New Roman" w:hAnsi="Times New Roman"/>
          <w:sz w:val="24"/>
          <w:szCs w:val="24"/>
        </w:rPr>
        <w:t>Аметов</w:t>
      </w:r>
      <w:proofErr w:type="spellEnd"/>
      <w:r w:rsidRPr="00FD03B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D03B0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FD03B0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60588A" w:rsidRPr="00FD03B0" w:rsidRDefault="0060588A" w:rsidP="00B93EBE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D03B0">
        <w:rPr>
          <w:rFonts w:ascii="Times New Roman" w:hAnsi="Times New Roman"/>
          <w:sz w:val="24"/>
          <w:szCs w:val="24"/>
        </w:rPr>
        <w:t> Дедов И. И., Мельниченко Г. А., Фадеев В. В.  Эндокринология. - М.: ГЭОТАР-МЕДИА, 2007 – 901 с.</w:t>
      </w:r>
    </w:p>
    <w:p w:rsidR="0060588A" w:rsidRPr="00FD03B0" w:rsidRDefault="0060588A" w:rsidP="00B93EBE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D03B0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 ;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>. Ю. Ю. Елисеев. - М.: АСТ, 2007. - 608 с</w:t>
      </w:r>
    </w:p>
    <w:p w:rsidR="0060588A" w:rsidRPr="00FD03B0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D03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FD03B0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>: руководство для врачей : пер. с англ./ Х. С. Абу-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60588A" w:rsidRPr="00FD03B0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D03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FD03B0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D03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FD03B0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 [и др.] ;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60588A" w:rsidRPr="00FD03B0" w:rsidRDefault="0060588A" w:rsidP="00B93EBE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D03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FD03B0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br/>
      </w:r>
      <w:r w:rsidRPr="00FD03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FD03B0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60588A" w:rsidRPr="00FD03B0" w:rsidRDefault="0060588A" w:rsidP="00B93EBE">
      <w:pPr>
        <w:pStyle w:val="a8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D03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FD03B0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br/>
      </w:r>
      <w:r w:rsidRPr="00FD03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FD03B0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60588A" w:rsidRPr="00FD03B0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D03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FD03B0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D03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FD03B0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60588A" w:rsidRPr="00FD03B0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D03B0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, Р. А. Арки ; под общ. ред. Ю. В.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60588A" w:rsidRPr="00FD03B0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D03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FD03B0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 ; под ред. И</w:t>
      </w:r>
      <w:r w:rsidRPr="00FD03B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D03B0">
        <w:rPr>
          <w:rFonts w:ascii="Times New Roman" w:hAnsi="Times New Roman"/>
          <w:color w:val="000000"/>
          <w:sz w:val="24"/>
          <w:szCs w:val="24"/>
        </w:rPr>
        <w:t>И</w:t>
      </w:r>
      <w:r w:rsidRPr="00FD03B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D03B0">
        <w:rPr>
          <w:rFonts w:ascii="Times New Roman" w:hAnsi="Times New Roman"/>
          <w:color w:val="000000"/>
          <w:sz w:val="24"/>
          <w:szCs w:val="24"/>
        </w:rPr>
        <w:t>Дедова</w:t>
      </w:r>
      <w:r w:rsidRPr="00FD03B0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FD03B0">
        <w:rPr>
          <w:rFonts w:ascii="Times New Roman" w:hAnsi="Times New Roman"/>
          <w:color w:val="000000"/>
          <w:sz w:val="24"/>
          <w:szCs w:val="24"/>
        </w:rPr>
        <w:t>Г</w:t>
      </w:r>
      <w:r w:rsidRPr="00FD03B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D03B0">
        <w:rPr>
          <w:rFonts w:ascii="Times New Roman" w:hAnsi="Times New Roman"/>
          <w:color w:val="000000"/>
          <w:sz w:val="24"/>
          <w:szCs w:val="24"/>
        </w:rPr>
        <w:t>А</w:t>
      </w:r>
      <w:r w:rsidRPr="00FD03B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D03B0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FD03B0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FD03B0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FD03B0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FD03B0">
        <w:rPr>
          <w:rFonts w:ascii="Times New Roman" w:hAnsi="Times New Roman"/>
          <w:color w:val="000000"/>
          <w:sz w:val="24"/>
          <w:szCs w:val="24"/>
        </w:rPr>
        <w:t>Е</w:t>
      </w:r>
      <w:r w:rsidRPr="00FD03B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D03B0">
        <w:rPr>
          <w:rFonts w:ascii="Times New Roman" w:hAnsi="Times New Roman"/>
          <w:color w:val="000000"/>
          <w:sz w:val="24"/>
          <w:szCs w:val="24"/>
        </w:rPr>
        <w:t>Н</w:t>
      </w:r>
      <w:r w:rsidRPr="00FD03B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D03B0">
        <w:rPr>
          <w:rFonts w:ascii="Times New Roman" w:hAnsi="Times New Roman"/>
          <w:color w:val="000000"/>
          <w:sz w:val="24"/>
          <w:szCs w:val="24"/>
        </w:rPr>
        <w:t>Гринева</w:t>
      </w:r>
      <w:r w:rsidRPr="00FD03B0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FD03B0">
        <w:rPr>
          <w:rFonts w:ascii="Times New Roman" w:hAnsi="Times New Roman"/>
          <w:color w:val="000000"/>
          <w:sz w:val="24"/>
          <w:szCs w:val="24"/>
        </w:rPr>
        <w:t>Е</w:t>
      </w:r>
      <w:r w:rsidRPr="00FD03B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D03B0">
        <w:rPr>
          <w:rFonts w:ascii="Times New Roman" w:hAnsi="Times New Roman"/>
          <w:color w:val="000000"/>
          <w:sz w:val="24"/>
          <w:szCs w:val="24"/>
        </w:rPr>
        <w:t>И</w:t>
      </w:r>
      <w:r w:rsidRPr="00FD03B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r w:rsidRPr="00FD03B0">
        <w:rPr>
          <w:rFonts w:ascii="Times New Roman" w:hAnsi="Times New Roman"/>
          <w:color w:val="000000"/>
          <w:sz w:val="24"/>
          <w:szCs w:val="24"/>
        </w:rPr>
        <w:t>М</w:t>
      </w:r>
      <w:r w:rsidRPr="00FD03B0">
        <w:rPr>
          <w:rFonts w:ascii="Times New Roman" w:hAnsi="Times New Roman"/>
          <w:color w:val="000000"/>
          <w:sz w:val="24"/>
          <w:szCs w:val="24"/>
          <w:lang w:val="en-US"/>
        </w:rPr>
        <w:t xml:space="preserve">.: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FD03B0">
        <w:rPr>
          <w:rFonts w:ascii="Times New Roman" w:hAnsi="Times New Roman"/>
          <w:color w:val="000000"/>
          <w:sz w:val="24"/>
          <w:szCs w:val="24"/>
        </w:rPr>
        <w:t>с</w:t>
      </w:r>
      <w:r w:rsidRPr="00FD03B0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60588A" w:rsidRPr="00FD03B0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D03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FD03B0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веществ :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60588A" w:rsidRPr="00FD03B0" w:rsidRDefault="0060588A" w:rsidP="00B93EBE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D03B0">
        <w:rPr>
          <w:rFonts w:ascii="Times New Roman" w:hAnsi="Times New Roman"/>
          <w:sz w:val="24"/>
          <w:szCs w:val="24"/>
        </w:rPr>
        <w:t xml:space="preserve">Серов В.Н., </w:t>
      </w:r>
      <w:proofErr w:type="spellStart"/>
      <w:r w:rsidRPr="00FD03B0">
        <w:rPr>
          <w:rFonts w:ascii="Times New Roman" w:hAnsi="Times New Roman"/>
          <w:sz w:val="24"/>
          <w:szCs w:val="24"/>
        </w:rPr>
        <w:t>Прилепская</w:t>
      </w:r>
      <w:proofErr w:type="spellEnd"/>
      <w:r w:rsidRPr="00FD03B0">
        <w:rPr>
          <w:rFonts w:ascii="Times New Roman" w:hAnsi="Times New Roman"/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FD03B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FD03B0">
        <w:rPr>
          <w:rFonts w:ascii="Times New Roman" w:hAnsi="Times New Roman"/>
          <w:sz w:val="24"/>
          <w:szCs w:val="24"/>
        </w:rPr>
        <w:t>, 2008 – 521 с.</w:t>
      </w:r>
    </w:p>
    <w:p w:rsidR="0060588A" w:rsidRPr="00FD03B0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D03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FD03B0">
        <w:rPr>
          <w:rFonts w:ascii="Times New Roman" w:hAnsi="Times New Roman"/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60588A" w:rsidRPr="00FD03B0" w:rsidRDefault="0060588A" w:rsidP="00B93EBE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D03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FD03B0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D03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FD03B0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</w:t>
      </w:r>
    </w:p>
    <w:p w:rsidR="0060588A" w:rsidRPr="00FD03B0" w:rsidRDefault="0060588A" w:rsidP="00B93EBE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D03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FD03B0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 ; пер. 5-го англ. изд. : А. Н. Смирнова, О. В. Смирновой, под ред. А. С.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60588A" w:rsidRPr="00FD03B0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D03B0">
        <w:rPr>
          <w:rFonts w:ascii="Times New Roman" w:hAnsi="Times New Roman"/>
          <w:color w:val="000000"/>
          <w:sz w:val="24"/>
          <w:szCs w:val="24"/>
        </w:rPr>
        <w:lastRenderedPageBreak/>
        <w:t>Функциональная и топическая диагностика в </w:t>
      </w:r>
      <w:r w:rsidRPr="00FD03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FD03B0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>, Г. Е. Труфанов. - СПб.: ЭЛБИ-СПб, 2010. - 296 с. </w:t>
      </w:r>
    </w:p>
    <w:p w:rsidR="0060588A" w:rsidRPr="00FD03B0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D03B0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60588A" w:rsidRPr="00FD03B0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D03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FD03B0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FD03B0">
        <w:rPr>
          <w:rFonts w:ascii="Times New Roman" w:hAnsi="Times New Roman"/>
          <w:color w:val="000000"/>
          <w:sz w:val="24"/>
          <w:szCs w:val="24"/>
        </w:rPr>
        <w:br/>
      </w:r>
      <w:r w:rsidRPr="00FD03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FD03B0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СПб.: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60588A" w:rsidRPr="00FD03B0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D03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FD03B0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FD03B0">
        <w:rPr>
          <w:rFonts w:ascii="Times New Roman" w:hAnsi="Times New Roman"/>
          <w:color w:val="000000"/>
          <w:sz w:val="24"/>
          <w:szCs w:val="24"/>
        </w:rPr>
        <w:br/>
      </w:r>
      <w:r w:rsidRPr="00FD03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FD03B0">
        <w:rPr>
          <w:rFonts w:ascii="Times New Roman" w:hAnsi="Times New Roman"/>
          <w:color w:val="000000"/>
          <w:sz w:val="24"/>
          <w:szCs w:val="24"/>
        </w:rPr>
        <w:t xml:space="preserve">: Заболевания поджелудочной железы, паращитовидных и половых желез. - СПб.: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60588A" w:rsidRPr="00FD03B0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D03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FD03B0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>, 2007. - 351 с.</w:t>
      </w:r>
    </w:p>
    <w:p w:rsidR="0060588A" w:rsidRPr="00FD03B0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D03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FD03B0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60588A" w:rsidRPr="00FD03B0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D03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FD03B0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60588A" w:rsidRPr="00FD03B0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D03B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FD03B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FD03B0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 ; пер. с англ. под ред. Г. А. Мельниченко. - М.: РИД ЭЛСИВЕР,</w:t>
      </w:r>
      <w:r w:rsidRPr="00FD03B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D03B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D03B0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60588A" w:rsidRPr="00FD03B0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D03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FD03B0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 xml:space="preserve"> [и др.] ; науч. ред. рус. издания Г. А. Мельниченко ; пер. с англ.: А. Н. Редькин, Д. Е. Колода. - М.: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60588A" w:rsidRPr="00FD03B0" w:rsidRDefault="0060588A" w:rsidP="00B93E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D03B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FD03B0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</w:rPr>
        <w:t>. - СПб.: ЭЛБИ-СПб, 2007. - 158 с.</w:t>
      </w:r>
    </w:p>
    <w:p w:rsidR="0060588A" w:rsidRPr="00FD03B0" w:rsidRDefault="0060588A" w:rsidP="00B93EBE">
      <w:pPr>
        <w:pStyle w:val="a8"/>
        <w:numPr>
          <w:ilvl w:val="0"/>
          <w:numId w:val="2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FD03B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FD03B0">
        <w:rPr>
          <w:rFonts w:ascii="Times New Roman" w:hAnsi="Times New Roman"/>
          <w:color w:val="000000"/>
          <w:sz w:val="24"/>
          <w:szCs w:val="24"/>
        </w:rPr>
        <w:t> </w:t>
      </w:r>
      <w:r w:rsidRPr="00FD03B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FD03B0">
        <w:rPr>
          <w:rFonts w:ascii="Times New Roman" w:hAnsi="Times New Roman"/>
          <w:color w:val="000000"/>
          <w:sz w:val="24"/>
          <w:szCs w:val="24"/>
        </w:rPr>
        <w:t> </w:t>
      </w:r>
      <w:r w:rsidRPr="00FD03B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 w:rsidRPr="00FD03B0">
        <w:rPr>
          <w:rFonts w:ascii="Times New Roman" w:hAnsi="Times New Roman"/>
          <w:color w:val="000000"/>
          <w:sz w:val="24"/>
          <w:szCs w:val="24"/>
        </w:rPr>
        <w:t> </w:t>
      </w:r>
    </w:p>
    <w:p w:rsidR="0060588A" w:rsidRPr="00FD03B0" w:rsidRDefault="0060588A" w:rsidP="00B93EBE">
      <w:pPr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D03B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А.М.Пантелеев.-СПб.:ООО"Береста",2011.Ч. 1:</w:t>
      </w:r>
      <w:r w:rsidRPr="00FD03B0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FD03B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FD03B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60588A" w:rsidRPr="00FD03B0" w:rsidRDefault="0060588A" w:rsidP="00B93EBE">
      <w:pPr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03B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 : в 2-х ч./ В. В. Нечаев, А. К. Иванов, А. М. Пантелеев.- СПб.: ООО "Береста", 2011. Ч. 2:</w:t>
      </w:r>
      <w:r w:rsidRPr="00FD03B0">
        <w:rPr>
          <w:rFonts w:ascii="Times New Roman" w:hAnsi="Times New Roman"/>
          <w:color w:val="000000"/>
          <w:sz w:val="24"/>
          <w:szCs w:val="24"/>
        </w:rPr>
        <w:t> </w:t>
      </w:r>
      <w:r w:rsidRPr="00FD03B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Микст-инфекции.-2011.-311 с).</w:t>
      </w:r>
      <w:r w:rsidRPr="00FD03B0">
        <w:rPr>
          <w:rFonts w:ascii="Times New Roman" w:hAnsi="Times New Roman"/>
          <w:color w:val="000000"/>
          <w:sz w:val="24"/>
          <w:szCs w:val="24"/>
        </w:rPr>
        <w:t> </w:t>
      </w:r>
    </w:p>
    <w:p w:rsidR="0060588A" w:rsidRDefault="0060588A" w:rsidP="004B1172">
      <w:pPr>
        <w:jc w:val="both"/>
      </w:pPr>
      <w:r w:rsidRPr="00CD3515">
        <w:rPr>
          <w:rFonts w:ascii="Times New Roman" w:hAnsi="Times New Roman"/>
          <w:sz w:val="24"/>
          <w:szCs w:val="24"/>
        </w:rPr>
        <w:t xml:space="preserve"> </w:t>
      </w:r>
    </w:p>
    <w:sectPr w:rsidR="0060588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D05C3"/>
    <w:multiLevelType w:val="hybridMultilevel"/>
    <w:tmpl w:val="03203B0A"/>
    <w:lvl w:ilvl="0" w:tplc="1DB640B0">
      <w:start w:val="8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5860EA9"/>
    <w:multiLevelType w:val="hybridMultilevel"/>
    <w:tmpl w:val="C99847DA"/>
    <w:lvl w:ilvl="0" w:tplc="F8764EE2">
      <w:start w:val="9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41382"/>
    <w:rsid w:val="000610B4"/>
    <w:rsid w:val="001A0E11"/>
    <w:rsid w:val="001B1F20"/>
    <w:rsid w:val="001B4F73"/>
    <w:rsid w:val="002234FE"/>
    <w:rsid w:val="002B593B"/>
    <w:rsid w:val="002B691F"/>
    <w:rsid w:val="002D0F77"/>
    <w:rsid w:val="002E588F"/>
    <w:rsid w:val="00384FAE"/>
    <w:rsid w:val="0049078D"/>
    <w:rsid w:val="004B1172"/>
    <w:rsid w:val="004E54B7"/>
    <w:rsid w:val="00543280"/>
    <w:rsid w:val="00592665"/>
    <w:rsid w:val="00601EFB"/>
    <w:rsid w:val="0060588A"/>
    <w:rsid w:val="00613762"/>
    <w:rsid w:val="007054D3"/>
    <w:rsid w:val="007230C0"/>
    <w:rsid w:val="00787F16"/>
    <w:rsid w:val="007A592A"/>
    <w:rsid w:val="00844036"/>
    <w:rsid w:val="009E7361"/>
    <w:rsid w:val="00A0316F"/>
    <w:rsid w:val="00A561C6"/>
    <w:rsid w:val="00AA5296"/>
    <w:rsid w:val="00B923E1"/>
    <w:rsid w:val="00B93EBE"/>
    <w:rsid w:val="00CD3515"/>
    <w:rsid w:val="00D06AB0"/>
    <w:rsid w:val="00D4477B"/>
    <w:rsid w:val="00D7454E"/>
    <w:rsid w:val="00F5212D"/>
    <w:rsid w:val="00F94652"/>
    <w:rsid w:val="00FB0E12"/>
    <w:rsid w:val="00FD03B0"/>
    <w:rsid w:val="00FF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6DFCC3D-A80A-4DB0-87AD-3F8DF69A3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No Spacing"/>
    <w:uiPriority w:val="1"/>
    <w:qFormat/>
    <w:rsid w:val="00FD03B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1250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2018-11-22T08:53:00Z</dcterms:created>
  <dcterms:modified xsi:type="dcterms:W3CDTF">2018-11-22T08:53:00Z</dcterms:modified>
</cp:coreProperties>
</file>